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 xml:space="preserve">     </w:t>
      </w:r>
    </w:p>
    <w:p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</w:rPr>
        <w:t>河北省中小企业公共服务示范平台</w:t>
      </w:r>
    </w:p>
    <w:p>
      <w:pPr>
        <w:jc w:val="center"/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</w:rPr>
        <w:t>服务规范评价指标（试行）</w:t>
      </w:r>
    </w:p>
    <w:tbl>
      <w:tblPr>
        <w:tblStyle w:val="2"/>
        <w:tblpPr w:leftFromText="180" w:rightFromText="180" w:vertAnchor="page" w:horzAnchor="page" w:tblpX="1372" w:tblpY="35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3195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"/>
                <w:b/>
                <w:color w:val="000000"/>
                <w:kern w:val="0"/>
                <w:sz w:val="21"/>
                <w:szCs w:val="21"/>
              </w:rPr>
              <w:t>服务执行</w:t>
            </w:r>
          </w:p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基础设施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固定的经营服务场所和必要的服务设施、仪器设备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平台总资产不低于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200万元（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事业单位、社团法人不低于100万元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服务人员配备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从事为中小企业服务的人员不少于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专业服务人员和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中级以上技术职称专业人员的比例占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0%以上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质量管控体系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建立与服务实施相匹配的管理制度和标准，明确质量管控的相关要求。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服务收费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制定科学、合理的服务收费标准，对小型微型企业服务相对优惠。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楷体"/>
                <w:b/>
                <w:color w:val="000000"/>
                <w:kern w:val="0"/>
                <w:sz w:val="21"/>
                <w:szCs w:val="21"/>
                <w:lang w:eastAsia="zh-CN"/>
              </w:rPr>
              <w:t>服务能力</w:t>
            </w:r>
          </w:p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服务功能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具备信息服务、技术服务、管理咨询、创业服务、培训服务、融资服务至少一项服务功能。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服务资源整合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有组织带动社会服务资源的能力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 w:color="auto"/>
                <w:lang w:eastAsia="zh-CN"/>
              </w:rPr>
              <w:t>，集聚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3家以上。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（以合作协议和合同为准）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服务企业数量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年度服务企业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100家以上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公共服务产品数量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根据申报平台的功能要求对应的公共服务产品数量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楷体"/>
                <w:b/>
                <w:color w:val="000000"/>
                <w:sz w:val="21"/>
                <w:szCs w:val="21"/>
                <w:lang w:eastAsia="zh-CN"/>
              </w:rPr>
              <w:t>信息上报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服务信息报送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按时报送大数据平台数据；按时报送年终总结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eastAsia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楷体"/>
                <w:b/>
                <w:color w:val="000000"/>
                <w:kern w:val="0"/>
                <w:sz w:val="21"/>
                <w:szCs w:val="21"/>
              </w:rPr>
              <w:t>服务</w:t>
            </w:r>
            <w:r>
              <w:rPr>
                <w:rFonts w:hint="eastAsia" w:eastAsia="楷体"/>
                <w:b/>
                <w:color w:val="000000"/>
                <w:kern w:val="0"/>
                <w:sz w:val="21"/>
                <w:szCs w:val="21"/>
                <w:lang w:eastAsia="zh-CN"/>
              </w:rPr>
              <w:t>绩效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服务企业增量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服务企业增长情况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服务“专精特新”企业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年度服务“专精特新”企业数量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服务专精特新“小巨人”企业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年度服务专精特新“小巨人”企业数量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特色服务活动情况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提供专业化精准化服务取得可比性实效，主要经验做法和典型服务案例，推动大中小企业融通发展等方面的工作及成效等。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平台直接经济效益与间接经济效益，包括平台年度服务收入及增长情况，以及本地域或本产业企业通过平台服务降低的生产经营成本、带来的经济效益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公益性服务或低收费服务占总服务量的比例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企业满意度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平台提供的服务，满足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需求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，满意度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80%以上</w:t>
            </w:r>
          </w:p>
        </w:tc>
      </w:tr>
    </w:tbl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2820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河北省小微企业双创示范基地服务规范评价指标(试行）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一级指标</w:t>
            </w:r>
          </w:p>
        </w:tc>
        <w:tc>
          <w:tcPr>
            <w:tcW w:w="28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二级指标</w:t>
            </w:r>
          </w:p>
        </w:tc>
        <w:tc>
          <w:tcPr>
            <w:tcW w:w="5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服务能力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入驻企业及从业人员</w:t>
            </w: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入驻企业40家以上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入驻企业从业人员700人以上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专职人员</w:t>
            </w: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从事创业创新服务的专职人员不少于8人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合作机构</w:t>
            </w:r>
          </w:p>
        </w:tc>
        <w:tc>
          <w:tcPr>
            <w:tcW w:w="54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引入或战略合作的外部专业服务机构不少于5家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基础设施</w:t>
            </w: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具备满足入驻企业生产经营的场地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有设施完备的服务场所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服务功能</w:t>
            </w: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不少于《管理指南》要求的4种服务功能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可持续发展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目标规划</w:t>
            </w: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有基地发展目标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有明确清晰的产业定位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有发展规划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制度流程</w:t>
            </w: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有健全的管理制度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有完备的创业创新服务流程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有明确的收费标准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有服务台账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、典型案例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服务绩效</w:t>
            </w:r>
          </w:p>
        </w:tc>
        <w:tc>
          <w:tcPr>
            <w:tcW w:w="28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培育专精特新企业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当年新增省级“专精特新”企业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当年新增“专精特新小巨人”企业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解决融资问题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获得投融资支持的企业数量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新增专利数量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入驻企业当年知识产权授权数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新增入驻企业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基地新增入驻企业数量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营业收入增长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营业收入增长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5C3"/>
    <w:rsid w:val="2FC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2022-03-01T07:40:00Z</dcterms:created>
  <dc:creator>夏天的海～</dc:creator>
  <cp:lastModifiedBy>夏天的海～</cp:lastModifiedBy>
  <dcterms:modified xsi:type="dcterms:W3CDTF">2022-03-01T07:40:39Z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41BB652D0FD1422CAEAA63C1D5F3AF26</vt:lpwstr>
  </property>
</Properties>
</file>