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C3A8C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BDAF712">
      <w:pPr>
        <w:pStyle w:val="2"/>
        <w:spacing w:line="264" w:lineRule="auto"/>
        <w:rPr>
          <w:rFonts w:hint="eastAsia" w:ascii="方正大标宋_GBK" w:hAnsi="方正大标宋_GBK" w:eastAsia="方正大标宋_GBK" w:cs="方正大标宋_GBK"/>
          <w:sz w:val="44"/>
        </w:rPr>
      </w:pPr>
      <w:r>
        <w:rPr>
          <w:rFonts w:hint="eastAsia" w:ascii="方正大标宋_GBK" w:hAnsi="方正大标宋_GBK" w:eastAsia="方正大标宋_GBK" w:cs="方正大标宋_GBK"/>
          <w:sz w:val="44"/>
          <w:lang w:val="en-US" w:eastAsia="zh-CN"/>
        </w:rPr>
        <w:t>数字化供应链贯标试点</w:t>
      </w:r>
      <w:r>
        <w:rPr>
          <w:rFonts w:hint="eastAsia" w:ascii="方正大标宋_GBK" w:hAnsi="方正大标宋_GBK" w:eastAsia="方正大标宋_GBK" w:cs="方正大标宋_GBK"/>
          <w:sz w:val="44"/>
        </w:rPr>
        <w:t>企业申请表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7"/>
        <w:gridCol w:w="2068"/>
        <w:gridCol w:w="3074"/>
        <w:gridCol w:w="1502"/>
        <w:gridCol w:w="1503"/>
      </w:tblGrid>
      <w:tr w14:paraId="6A98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C538">
            <w:pPr>
              <w:pStyle w:val="8"/>
              <w:numPr>
                <w:ilvl w:val="0"/>
                <w:numId w:val="0"/>
              </w:numPr>
              <w:spacing w:before="156" w:beforeLines="50" w:after="156" w:afterLines="50"/>
              <w:ind w:left="448" w:leftChars="0" w:hanging="448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企业基本信息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及情况</w:t>
            </w:r>
          </w:p>
        </w:tc>
      </w:tr>
      <w:tr w14:paraId="0EF4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9A7A">
            <w:pPr>
              <w:pStyle w:val="8"/>
              <w:numPr>
                <w:ilvl w:val="0"/>
                <w:numId w:val="0"/>
              </w:numPr>
              <w:spacing w:before="156" w:beforeLines="50" w:after="156" w:afterLines="50"/>
              <w:ind w:left="357" w:leftChars="0" w:hanging="357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企业名称：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</w:t>
            </w:r>
          </w:p>
          <w:p w14:paraId="0D8B70B9">
            <w:pPr>
              <w:pStyle w:val="3"/>
              <w:spacing w:before="50" w:after="156" w:afterLines="50"/>
              <w:ind w:left="0" w:leftChars="0" w:firstLine="240" w:firstLineChars="1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法定代表人：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 xml:space="preserve">          </w:t>
            </w:r>
          </w:p>
          <w:p w14:paraId="57EC9F36">
            <w:pPr>
              <w:spacing w:before="156" w:beforeLines="50" w:after="156" w:afterLines="50"/>
              <w:ind w:firstLine="240" w:firstLineChars="1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统一社会信用代码/企业机构代码：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</w:t>
            </w:r>
          </w:p>
          <w:p w14:paraId="54FE9B8D">
            <w:pPr>
              <w:spacing w:before="156" w:beforeLines="50" w:after="156" w:afterLines="50"/>
              <w:ind w:firstLine="240" w:firstLineChars="100"/>
              <w:rPr>
                <w:rFonts w:hint="default"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企业性质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：□独资  □合资  □国营  □民营  □港/台资  □其它（请注明）：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  <w:p w14:paraId="2845749E">
            <w:pPr>
              <w:spacing w:before="156" w:beforeLines="50" w:after="156" w:afterLines="50"/>
              <w:ind w:firstLine="240" w:firstLineChars="100"/>
              <w:rPr>
                <w:rFonts w:hint="default"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企业地址：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</w:t>
            </w:r>
          </w:p>
          <w:p w14:paraId="0DDFA8C3">
            <w:pPr>
              <w:pStyle w:val="3"/>
              <w:spacing w:before="50" w:after="156" w:afterLines="50"/>
              <w:ind w:left="0" w:leftChars="0" w:firstLine="240" w:firstLineChars="1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邮编：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</w:t>
            </w:r>
          </w:p>
          <w:p w14:paraId="35BF1C91">
            <w:pPr>
              <w:pStyle w:val="3"/>
              <w:spacing w:before="50" w:after="156" w:afterLines="50"/>
              <w:ind w:left="0" w:leftChars="0" w:firstLine="240" w:firstLineChars="100"/>
              <w:rPr>
                <w:rFonts w:hint="default" w:ascii="Times New Roman" w:hAnsi="Times New Roman" w:eastAsia="仿宋_GB2312"/>
                <w:b w:val="0"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联系人及职务：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联系电话：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14:paraId="1DBE4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8CA5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财务状况及效益：</w:t>
            </w:r>
          </w:p>
          <w:p w14:paraId="72F77269">
            <w:pPr>
              <w:spacing w:before="156" w:beforeLines="50" w:after="156" w:afterLines="50"/>
              <w:ind w:firstLine="240" w:firstLineChars="1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截至上年末的主营业务收入（万元）：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    </w:t>
            </w:r>
          </w:p>
          <w:p w14:paraId="7224CDAA">
            <w:pPr>
              <w:pStyle w:val="3"/>
              <w:ind w:left="0" w:leftChars="0" w:firstLine="240" w:firstLineChars="1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截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上年末的固定资产原值（万元）：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6F119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A1DF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企业行业类型</w:t>
            </w:r>
          </w:p>
        </w:tc>
        <w:tc>
          <w:tcPr>
            <w:tcW w:w="8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6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20"/>
            </w:tblGrid>
            <w:tr w14:paraId="645527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3" w:hRule="atLeast"/>
                <w:jc w:val="center"/>
              </w:trPr>
              <w:tc>
                <w:tcPr>
                  <w:tcW w:w="7720" w:type="dxa"/>
                  <w:noWrap w:val="0"/>
                  <w:vAlign w:val="center"/>
                </w:tcPr>
                <w:p w14:paraId="287E014F">
                  <w:pPr>
                    <w:pStyle w:val="4"/>
                    <w:spacing w:after="0" w:line="264" w:lineRule="auto"/>
                    <w:ind w:left="210" w:hanging="240" w:hangingChars="100"/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sym w:font="Times New Roman" w:char="0000"/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钢铁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 xml:space="preserve">  □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石化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sym w:font="Times New Roman" w:char="0000"/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建材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>汽车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及零部件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sym w:font="Times New Roman" w:char="0000"/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机械制造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sym w:font="Times New Roman" w:char="0000"/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轨道交通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 w14:paraId="32E20DF4">
                  <w:pPr>
                    <w:pStyle w:val="4"/>
                    <w:spacing w:after="0" w:line="264" w:lineRule="auto"/>
                    <w:ind w:left="210" w:hanging="240" w:hangingChars="100"/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>□食品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>□医药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>□服装纺织  □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轻工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sym w:font="Times New Roman" w:char="0000"/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>电子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信息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  <w:p w14:paraId="6C6E6227">
                  <w:pPr>
                    <w:pStyle w:val="4"/>
                    <w:spacing w:after="0" w:line="264" w:lineRule="auto"/>
                    <w:ind w:left="210" w:hanging="240" w:hangingChars="100"/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sym w:font="Times New Roman" w:char="0000"/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</w:rPr>
                    <w:t>其他行业（请填写）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/>
                      <w:color w:val="auto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</w:tc>
            </w:tr>
          </w:tbl>
          <w:p w14:paraId="6A63E4E1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B098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ADCE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4.相关荣誉（提供证明材料）</w:t>
            </w:r>
          </w:p>
        </w:tc>
        <w:tc>
          <w:tcPr>
            <w:tcW w:w="8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61F3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□两化融合管理体系贯标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  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54E7269C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数字化转型成熟度贯标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企业  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1ECA896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工业互联网平台贯标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企业  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21C07D3A"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设备上云与设备数字化管理能力成熟度贯标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企业  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1A2E7376"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□“数字领航”企业  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397AAF10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□“双跨”工业互联网平台 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5D7D1CD6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□特色专业型工业互联网平台 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3A6A7DA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□工业互联网试点示范（平台方向） 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48E6D4C7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   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</w:tc>
      </w:tr>
      <w:tr w14:paraId="254BB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0D3D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2B04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□国家级奖项 </w:t>
            </w:r>
          </w:p>
          <w:p w14:paraId="09DD8431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奖项名称：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35FA80A7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□省部级奖项</w:t>
            </w:r>
          </w:p>
          <w:p w14:paraId="0483F738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奖项名称：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 授予年份：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年</w:t>
            </w:r>
          </w:p>
          <w:p w14:paraId="6027DB24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……</w:t>
            </w:r>
          </w:p>
        </w:tc>
      </w:tr>
      <w:tr w14:paraId="45A12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957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17576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5.简要介绍企业的基本情况（企业基本情况介绍；企业业务情况介绍；企业组织架构情况与部门职责介绍等）。（1000字以内，可附页）</w:t>
            </w:r>
          </w:p>
        </w:tc>
      </w:tr>
      <w:tr w14:paraId="67B4D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316A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二、企业数字化供应链贯标基本情况</w:t>
            </w:r>
          </w:p>
        </w:tc>
      </w:tr>
      <w:tr w14:paraId="326A1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1D6D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本次申请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数字化供应链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贯标方向：</w:t>
            </w:r>
          </w:p>
          <w:p w14:paraId="652A0FAC">
            <w:pPr>
              <w:spacing w:before="120" w:beforeLines="50" w:after="120" w:afterLines="50" w:line="312" w:lineRule="auto"/>
              <w:ind w:left="479" w:leftChars="228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数字化供应链关键环节优化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（包括供应链计划与预测、多元化寻源与采购、柔性化生产管理、订单精准交付、数字化客户服务等类型）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2321EB1E">
            <w:pPr>
              <w:spacing w:before="120" w:beforeLines="50" w:after="120" w:afterLines="50" w:line="312" w:lineRule="auto"/>
              <w:ind w:left="479" w:leftChars="228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数字化供应链全链条互联集成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（包括区域协同的供应链管理服务、基于组合式BOM的研-产-供-销集成、供应链风险预测与联防联控等类型）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</w:t>
            </w:r>
          </w:p>
          <w:p w14:paraId="3F5F93CB">
            <w:pPr>
              <w:spacing w:before="120" w:beforeLines="50" w:after="120" w:afterLines="50" w:line="312" w:lineRule="auto"/>
              <w:ind w:left="479" w:leftChars="228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供应链业务运营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（包括“供应链+集采集销”“供应链+数字金融”“供应链+AI大模型”“工业互联网平台+供应链”等类型）</w:t>
            </w:r>
          </w:p>
          <w:p w14:paraId="3C4DBF9F">
            <w:pPr>
              <w:pStyle w:val="3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【注：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申请的数字化供应链贯标方向可多选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】</w:t>
            </w:r>
          </w:p>
        </w:tc>
      </w:tr>
      <w:tr w14:paraId="6D63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21D42">
            <w:pPr>
              <w:numPr>
                <w:ilvl w:val="0"/>
                <w:numId w:val="0"/>
              </w:numPr>
              <w:spacing w:before="120" w:beforeLines="50" w:after="120" w:afterLines="50" w:line="312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3.简要介绍现阶段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在本次申请贯标方向下的有关供应链数字化管理情况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依据填报方向，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数字化供应链关键环节优化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数字化供应链全链条互联集成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数字化供应链全生态协同创新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（可附图）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2000字以内，可附页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）</w:t>
            </w:r>
          </w:p>
          <w:p w14:paraId="61C8AB91">
            <w:pPr>
              <w:pStyle w:val="3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2DE2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ED71A">
            <w:pPr>
              <w:numPr>
                <w:ilvl w:val="0"/>
                <w:numId w:val="0"/>
              </w:numPr>
              <w:spacing w:before="120" w:beforeLines="50" w:after="120" w:afterLines="50" w:line="312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简要介绍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企业以下供应链数字化管理基本情况（可附图）（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3000字以内，可附页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）：</w:t>
            </w:r>
          </w:p>
          <w:p w14:paraId="0E18767B">
            <w:pPr>
              <w:numPr>
                <w:ilvl w:val="0"/>
                <w:numId w:val="0"/>
              </w:numPr>
              <w:spacing w:before="120" w:beforeLines="50" w:after="120" w:afterLines="50" w:line="312" w:lineRule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数字化供应链体系设计情况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（可围绕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企业数字化供应链战略规划、组织架构、合作模式、网络结构、能力布局等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方面情况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）；</w:t>
            </w:r>
          </w:p>
          <w:p w14:paraId="1A786799">
            <w:pPr>
              <w:numPr>
                <w:ilvl w:val="0"/>
                <w:numId w:val="0"/>
              </w:numPr>
              <w:spacing w:before="120" w:beforeLines="50" w:after="120" w:afterLines="50" w:line="312" w:lineRule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数字化供应链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平台赋能情况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（可围绕企业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数字化供应链系统平台建设、信息技术应用、数据管理与应用、信息追溯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方面情况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）；</w:t>
            </w:r>
          </w:p>
          <w:p w14:paraId="531E37C7">
            <w:pPr>
              <w:numPr>
                <w:ilvl w:val="0"/>
                <w:numId w:val="0"/>
              </w:numPr>
              <w:spacing w:before="120" w:beforeLines="50" w:after="120" w:afterLines="50" w:line="312" w:lineRule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数字化供应链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业务运营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（可围绕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企业在供应链计划、采购、生产、订单管理、仓储物流、销售服务等环节的数字化应用和业务运营情况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）；</w:t>
            </w:r>
          </w:p>
          <w:p w14:paraId="67FAA427">
            <w:pPr>
              <w:numPr>
                <w:ilvl w:val="0"/>
                <w:numId w:val="0"/>
              </w:numPr>
              <w:spacing w:before="120" w:beforeLines="50" w:after="120" w:afterLines="50" w:line="312" w:lineRule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数字化供应链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效能效益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（可围绕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企业数字化供应链在柔性性能、韧性性能、风险防控、综合绩效等方面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）。</w:t>
            </w:r>
          </w:p>
          <w:p w14:paraId="56A81AA9">
            <w:pPr>
              <w:pStyle w:val="3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21B4234E">
            <w:pPr>
              <w:pStyle w:val="4"/>
              <w:ind w:firstLine="21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37EDDD06">
            <w:pPr>
              <w:pStyle w:val="3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A49C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C7B0">
            <w:pPr>
              <w:spacing w:before="120" w:beforeLines="50" w:after="120" w:afterLines="50" w:line="312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.企业数字化供应链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关键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指标</w:t>
            </w:r>
          </w:p>
          <w:p w14:paraId="4D24F69E">
            <w:pPr>
              <w:spacing w:before="120" w:beforeLines="50" w:after="120" w:afterLines="50" w:line="312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近三年，企业新产品交付周期：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14:paraId="2CE8CD02">
            <w:pPr>
              <w:spacing w:before="120" w:beforeLines="50" w:after="120" w:afterLines="50" w:line="312" w:lineRule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□近三年，企业核心产品生产线切换时间：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14:paraId="3AF04ADD">
            <w:pPr>
              <w:spacing w:before="120" w:beforeLines="50" w:after="120" w:afterLines="50" w:line="312" w:lineRule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□近三年，企业库存周转率：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14:paraId="1F0733B0">
            <w:pPr>
              <w:spacing w:before="120" w:beforeLines="50" w:after="120" w:afterLines="50" w:line="312" w:lineRule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近三年，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企业订单准时交付率：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14:paraId="566FF86A">
            <w:pPr>
              <w:spacing w:before="120" w:beforeLines="50" w:after="120" w:afterLines="50" w:line="312" w:lineRule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□近三年，企业订单交付周期：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14:paraId="2B96F27D">
            <w:pPr>
              <w:spacing w:before="120" w:beforeLines="50" w:after="120" w:afterLines="50" w:line="312" w:lineRule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□近三年，企业产能利用率：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14:paraId="0518025A">
            <w:pPr>
              <w:spacing w:before="120" w:beforeLines="50" w:after="120" w:afterLines="50" w:line="312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□近三年，企业产品客户满意度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1F8B5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FD1F">
            <w:pPr>
              <w:spacing w:before="120" w:after="120" w:line="312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四、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企业应用的数字化供应链相关管理系统或平台</w:t>
            </w:r>
          </w:p>
          <w:p w14:paraId="7C6571E9">
            <w:pPr>
              <w:spacing w:before="120" w:beforeLines="50" w:after="120" w:afterLines="50" w:line="312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【注：包括但不限于供应链计划、订单管理、生产管理、销售管理、供应商关系管理、客户关系管理、库存管理、物流运输管理、供应链网络设计、供应链风险评价、供应链绩效评价等系统、工具或平台，如：C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  <w:t>RM、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E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  <w:t>RP、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S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  <w:t>CM、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W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  <w:t>MS、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T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  <w:t>MS、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A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  <w:t>PS、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M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  <w:t>ES、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S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32"/>
              </w:rPr>
              <w:t>NP等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】</w:t>
            </w:r>
          </w:p>
        </w:tc>
      </w:tr>
      <w:tr w14:paraId="38EB0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067B">
            <w:pPr>
              <w:spacing w:before="120" w:beforeLines="50" w:after="120" w:afterLine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bidi="ar"/>
              </w:rPr>
              <w:t>系统名称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00D0">
            <w:pPr>
              <w:spacing w:before="120" w:beforeLines="50" w:after="120" w:afterLine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bidi="ar"/>
              </w:rPr>
              <w:t>主要功能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1F9F">
            <w:pPr>
              <w:spacing w:before="120" w:beforeLines="50" w:after="120" w:afterLine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bidi="ar"/>
              </w:rPr>
              <w:t>运行状态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9488">
            <w:pPr>
              <w:spacing w:before="120" w:beforeLines="50" w:after="120" w:afterLine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bidi="ar"/>
              </w:rPr>
              <w:t>上线时间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26BA">
            <w:pPr>
              <w:spacing w:before="120" w:beforeLines="50" w:after="120" w:afterLine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bidi="ar"/>
              </w:rPr>
              <w:t>合作伙伴</w:t>
            </w:r>
          </w:p>
          <w:p w14:paraId="7A15860E">
            <w:pPr>
              <w:spacing w:before="120" w:beforeLines="50" w:after="120" w:afterLine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bidi="ar"/>
              </w:rPr>
              <w:t>连接数量</w:t>
            </w:r>
          </w:p>
        </w:tc>
      </w:tr>
      <w:tr w14:paraId="4D91A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F025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6594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BEA9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90D8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4A83">
            <w:pPr>
              <w:spacing w:before="156" w:beforeLines="50" w:after="156" w:afterLine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23F5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1329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988A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C12B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7C65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7ECF">
            <w:pPr>
              <w:spacing w:before="156" w:beforeLines="50" w:after="156" w:afterLine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7399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0711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70FC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4CB3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43A7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D76A">
            <w:pPr>
              <w:spacing w:before="156" w:beforeLines="50" w:after="156" w:afterLine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C536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DC25">
            <w:pPr>
              <w:spacing w:before="156" w:beforeLines="50" w:after="156" w:afterLines="50" w:line="312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企业供应链数字化水平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关键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数据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14:paraId="28114A10">
            <w:pPr>
              <w:spacing w:before="120" w:beforeLines="50" w:after="120" w:afterLines="50" w:line="312" w:lineRule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企业的生产、仓储、运输等自动化/数字化设备比例：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153CE420">
            <w:pPr>
              <w:spacing w:before="120" w:beforeLines="50" w:after="120" w:afterLines="50" w:line="312" w:lineRule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企业生产、仓储、运输相关设备和系统联网率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049A74A3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企业生产、仓储、运输相关设备上云率：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628A7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08FB8E">
            <w:pPr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五、真实性承诺</w:t>
            </w:r>
          </w:p>
        </w:tc>
      </w:tr>
      <w:tr w14:paraId="068DC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E876">
            <w:pPr>
              <w:spacing w:before="156" w:beforeLines="50" w:after="156" w:afterLines="50" w:line="312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本企业用于申报时所提供的所有材料，均真实、完整、准确；</w:t>
            </w:r>
          </w:p>
          <w:p w14:paraId="597BE559">
            <w:pPr>
              <w:spacing w:before="156" w:beforeLines="50" w:after="156" w:afterLines="50" w:line="312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本企业申请评价范围内涉及的活动均符合国家相关法律法规要求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08E8ECEB">
            <w:pPr>
              <w:spacing w:before="156" w:beforeLines="50" w:after="156" w:afterLines="50" w:line="312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以上声明如有不符，本企业愿承担相应的责任。</w:t>
            </w:r>
          </w:p>
          <w:p w14:paraId="60755D59">
            <w:pPr>
              <w:spacing w:before="156" w:beforeLines="50" w:after="156" w:afterLines="50" w:line="312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 xml:space="preserve">               法定代表人签章：                 </w:t>
            </w:r>
          </w:p>
          <w:p w14:paraId="60051654"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公章：                  年   月   日</w:t>
            </w:r>
          </w:p>
        </w:tc>
      </w:tr>
    </w:tbl>
    <w:p w14:paraId="72F77863"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93A324D"/>
    <w:rsid w:val="593A324D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ind w:firstLine="640" w:firstLineChars="200"/>
      <w:jc w:val="left"/>
    </w:pPr>
    <w:rPr>
      <w:rFonts w:eastAsia="仿宋" w:cs="Times New Roman"/>
      <w:lang w:eastAsia="en-US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2024-11-08T06:15:00Z</dcterms:created>
  <dc:creator>薛尤嘉</dc:creator>
  <cp:lastModifiedBy>薛尤嘉</cp:lastModifiedBy>
  <dcterms:modified xsi:type="dcterms:W3CDTF">2024-11-08T06:15:28Z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48E7539503BC4C07BBF9AC10CF8A92D5_11</vt:lpwstr>
  </property>
</Properties>
</file>