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autoSpaceDN w:val="0"/>
        <w:jc w:val="center"/>
        <w:rPr>
          <w:rFonts w:hint="eastAsia" w:ascii="黑体" w:hAnsi="黑体" w:eastAsia="黑体"/>
          <w:sz w:val="44"/>
          <w:szCs w:val="44"/>
          <w:lang w:val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河北省设备上云与设备数字化管理能力成熟度贯标试点企业</w:t>
      </w:r>
      <w:r>
        <w:rPr>
          <w:rFonts w:hint="eastAsia" w:ascii="黑体" w:hAnsi="黑体" w:eastAsia="黑体"/>
          <w:sz w:val="44"/>
          <w:szCs w:val="44"/>
          <w:lang w:val="zh-CN"/>
        </w:rPr>
        <w:t>推荐汇总表</w:t>
      </w:r>
    </w:p>
    <w:p>
      <w:pPr>
        <w:widowControl w:val="0"/>
        <w:spacing w:after="12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000000"/>
          <w:szCs w:val="24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32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color w:val="000000"/>
          <w:sz w:val="24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联系人：           电话：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299"/>
        <w:gridCol w:w="2357"/>
        <w:gridCol w:w="3498"/>
        <w:gridCol w:w="2707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贯标方向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注：设备上云与设备数字化管理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能力成熟度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贯标试点企业仅能通过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各市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渠道推荐。</w:t>
      </w:r>
    </w:p>
    <w:p>
      <w:pPr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F603489"/>
    <w:rsid w:val="2F603489"/>
    <w:rsid w:val="4782435E"/>
    <w:rsid w:val="5BBF76D9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ind w:firstLine="640" w:firstLineChars="200"/>
      <w:jc w:val="left"/>
    </w:pPr>
    <w:rPr>
      <w:rFonts w:eastAsia="仿宋" w:cs="Times New Roman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2024-04-19T05:58:00Z</dcterms:created>
  <dc:creator>薛尤嘉</dc:creator>
  <cp:lastModifiedBy>薛尤嘉</cp:lastModifiedBy>
  <dcterms:modified xsi:type="dcterms:W3CDTF">2024-04-19T09:11:50Z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C59A6935797E4AE693BACFF12415BE1F_13</vt:lpwstr>
  </property>
</Properties>
</file>