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3"/>
        <w:spacing w:line="264" w:lineRule="auto"/>
        <w:rPr>
          <w:rFonts w:hint="eastAsia"/>
        </w:rPr>
      </w:pPr>
      <w:r>
        <w:rPr>
          <w:rFonts w:hint="eastAsia"/>
          <w:lang w:val="en-US" w:eastAsia="zh-CN"/>
        </w:rPr>
        <w:t>设备上云与</w:t>
      </w:r>
      <w:r>
        <w:rPr>
          <w:rFonts w:hint="eastAsia"/>
        </w:rPr>
        <w:t>设备数字化管理能力</w:t>
      </w:r>
      <w:r>
        <w:rPr>
          <w:rFonts w:hint="eastAsia"/>
          <w:lang w:eastAsia="zh-CN"/>
        </w:rPr>
        <w:t>成熟度</w:t>
      </w:r>
      <w:r>
        <w:rPr>
          <w:rFonts w:hint="eastAsia"/>
        </w:rPr>
        <w:t>贯标试点</w:t>
      </w:r>
    </w:p>
    <w:p>
      <w:pPr>
        <w:pStyle w:val="3"/>
        <w:spacing w:line="264" w:lineRule="auto"/>
      </w:pPr>
      <w:r>
        <w:rPr>
          <w:rFonts w:hint="eastAsia"/>
        </w:rPr>
        <w:t>企业申请表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7"/>
        <w:gridCol w:w="2068"/>
        <w:gridCol w:w="3074"/>
        <w:gridCol w:w="1502"/>
        <w:gridCol w:w="1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before="156" w:beforeLines="50" w:after="156" w:afterLines="50"/>
              <w:ind w:left="448" w:leftChars="0" w:hanging="448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企业基本信息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及情况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before="156" w:beforeLines="50" w:after="156" w:afterLines="50"/>
              <w:ind w:left="357" w:leftChars="0" w:hanging="357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企业名称：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 </w:t>
            </w:r>
          </w:p>
          <w:p>
            <w:pPr>
              <w:pStyle w:val="2"/>
              <w:spacing w:before="50" w:after="156" w:afterLines="50"/>
              <w:ind w:left="0" w:leftChars="0" w:firstLine="240" w:firstLineChars="1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法定代表人：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 </w:t>
            </w:r>
          </w:p>
          <w:p>
            <w:pPr>
              <w:spacing w:before="156" w:beforeLines="50" w:after="156" w:afterLines="50"/>
              <w:ind w:firstLine="240" w:firstLineChars="1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统一社会信用代码/企业机构代码：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  </w:t>
            </w:r>
          </w:p>
          <w:p>
            <w:pPr>
              <w:spacing w:before="156" w:beforeLines="50" w:after="156" w:afterLines="50"/>
              <w:ind w:firstLine="240" w:firstLineChars="100"/>
              <w:rPr>
                <w:rFonts w:hint="eastAsia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企业性质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：□独资  □合资  □国营  □民营  □港/台资  □其它（请注明）：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             </w:t>
            </w:r>
          </w:p>
          <w:p>
            <w:pPr>
              <w:spacing w:before="156" w:beforeLines="50" w:after="156" w:afterLines="50"/>
              <w:ind w:firstLine="240" w:firstLineChars="100"/>
              <w:rPr>
                <w:rFonts w:hint="eastAsia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企业地址：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</w:t>
            </w:r>
          </w:p>
          <w:p>
            <w:pPr>
              <w:pStyle w:val="2"/>
              <w:spacing w:before="50" w:after="156" w:afterLines="50"/>
              <w:ind w:left="0" w:leftChars="0" w:firstLine="240" w:firstLineChars="1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邮编：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</w:t>
            </w:r>
          </w:p>
          <w:p>
            <w:pPr>
              <w:pStyle w:val="2"/>
              <w:spacing w:before="50" w:after="156" w:afterLines="50"/>
              <w:ind w:left="0" w:leftChars="0" w:firstLine="240" w:firstLineChars="100"/>
              <w:rPr>
                <w:rFonts w:hint="default" w:eastAsia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联系人及职务：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    联系电话：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财务状况及效益：</w:t>
            </w:r>
          </w:p>
          <w:p>
            <w:pPr>
              <w:spacing w:before="156" w:beforeLines="50" w:after="156" w:afterLines="50"/>
              <w:ind w:firstLine="240" w:firstLineChars="1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截至上年末的主营业务收入（万元）：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pStyle w:val="2"/>
              <w:ind w:left="0" w:leftChars="0" w:firstLine="240" w:firstLineChars="1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上年末的固定资产原值（万元）：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企业行业类型</w:t>
            </w:r>
          </w:p>
        </w:tc>
        <w:tc>
          <w:tcPr>
            <w:tcW w:w="8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6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8" w:hRule="atLeast"/>
                <w:jc w:val="center"/>
              </w:trPr>
              <w:tc>
                <w:tcPr>
                  <w:tcW w:w="8000" w:type="dxa"/>
                  <w:noWrap w:val="0"/>
                  <w:vAlign w:val="center"/>
                </w:tcPr>
                <w:p>
                  <w:pPr>
                    <w:pStyle w:val="4"/>
                    <w:spacing w:after="0" w:line="264" w:lineRule="auto"/>
                    <w:ind w:left="210" w:hanging="240" w:hangingChars="100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t>农林牧渔  □采矿业  □食品制造业  □服装纺织业  □木材加工</w:t>
                  </w:r>
                </w:p>
                <w:p>
                  <w:pPr>
                    <w:pStyle w:val="4"/>
                    <w:spacing w:after="0" w:line="264" w:lineRule="auto"/>
                    <w:ind w:left="210" w:hanging="240" w:hangingChars="100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t xml:space="preserve">□石油煤炭及其他燃料加工业  □化学原料和化学制品制造业  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t>汽车</w:t>
                  </w:r>
                </w:p>
                <w:p>
                  <w:pPr>
                    <w:pStyle w:val="4"/>
                    <w:spacing w:after="0" w:line="264" w:lineRule="auto"/>
                    <w:ind w:firstLine="0" w:firstLineChars="0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t>□医药制造业  □黑色金属  □有色金属  □通用设备  □专用设备</w:t>
                  </w:r>
                </w:p>
                <w:p>
                  <w:pPr>
                    <w:pStyle w:val="4"/>
                    <w:spacing w:after="0" w:line="264" w:lineRule="auto"/>
                    <w:ind w:left="210" w:hanging="240" w:hangingChars="100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t xml:space="preserve">□铁路  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t>船舶  □航空航天  □电气机械和器材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  <w:lang w:eastAsia="zh-CN"/>
                    </w:rPr>
                    <w:t>制造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t xml:space="preserve">  □电子设备</w:t>
                  </w:r>
                </w:p>
                <w:p>
                  <w:pPr>
                    <w:pStyle w:val="4"/>
                    <w:spacing w:after="0" w:line="264" w:lineRule="auto"/>
                    <w:ind w:left="100" w:hanging="100" w:firstLineChars="0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t xml:space="preserve">□仪器仪表  □废弃资源综合利用  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t>电力、热力、燃气及水生产和供应业</w:t>
                  </w:r>
                </w:p>
                <w:p>
                  <w:pPr>
                    <w:pStyle w:val="4"/>
                    <w:spacing w:after="0" w:line="264" w:lineRule="auto"/>
                    <w:ind w:left="210" w:hanging="240" w:hangingChars="100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t xml:space="preserve">□建筑业  □金属制品  □批发和零售业  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t>交通运输、仓储和邮政业</w:t>
                  </w:r>
                </w:p>
                <w:p>
                  <w:pPr>
                    <w:pStyle w:val="4"/>
                    <w:spacing w:after="0" w:line="264" w:lineRule="auto"/>
                    <w:ind w:left="210" w:hanging="240" w:hangingChars="100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t xml:space="preserve">住宿和餐饮业  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t xml:space="preserve">科研和技术服务业  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  <w:t>其他行业（请填写）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>
                  <w:pPr>
                    <w:pStyle w:val="4"/>
                    <w:spacing w:after="0" w:line="264" w:lineRule="auto"/>
                    <w:ind w:left="220" w:hanging="220" w:hangingChars="100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2"/>
                      <w:szCs w:val="22"/>
                    </w:rPr>
                    <w:t>【注：参考国家标准GB/T 4754-2017《国民经济行业分类》】</w:t>
                  </w:r>
                </w:p>
              </w:tc>
            </w:tr>
          </w:tbl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4.相关荣誉（提供证明材料）</w:t>
            </w:r>
          </w:p>
        </w:tc>
        <w:tc>
          <w:tcPr>
            <w:tcW w:w="8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试点示范情况：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□两化融合管理体系贯标试点示范   授予年份：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年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□“数字领航”企业   授予年份：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年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eastAsia="zh-CN"/>
              </w:rPr>
              <w:t>数字化转型成熟度贯标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企业   授予年份：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年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eastAsia="zh-CN"/>
              </w:rPr>
              <w:t>工业互联网平台贯标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企业   授予年份：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年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□“双跨”工业互联网平台  授予年份：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年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□特色专业型工业互联网平台  授予年份：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年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□工业互联网试点示范（平台方向）  授予年份：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年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    授予年份：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8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□国家级奖项 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奖项名称：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 授予年份：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年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□省部级奖项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奖项名称：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 授予年份：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年</w:t>
            </w:r>
          </w:p>
          <w:p>
            <w:pPr>
              <w:rPr>
                <w:rFonts w:hint="default" w:eastAsia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578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简要介绍企业基本情况（企业组织架构、主营业务、行业地位等）等。（1000字以内）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二、企业设备上云情况介绍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1.现阶段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上云上平台领域的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贯标需求、预期目标、工作计划，以及贯标成果应用推广计划等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1000字以内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对照《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工业互联网平台 工业设备上云通用管理要求 第1部分：总则》（SJ/T 11925.1-2024）标准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简要介绍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企业在设备上云领域的总体规划、整体设计、实施准备、工业互联网平台实施及应用等方面的情况（2000字以内）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三、企业设备数字化管理情况介绍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本次申请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设备数字化管理能力成熟度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等级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及自评价结果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：</w:t>
            </w:r>
          </w:p>
          <w:p>
            <w:pPr>
              <w:spacing w:before="156" w:beforeLines="50" w:after="156" w:afterLines="50"/>
              <w:ind w:firstLine="240" w:firstLineChars="1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□初始起步级（L1）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平稳运行级（L2） □感知交互级（L3） □智能优化级（L4）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【注：原则上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初次贯标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评价，暂不接受智能优化级（L4）等级申请】</w:t>
            </w:r>
          </w:p>
          <w:p>
            <w:pPr>
              <w:spacing w:before="156" w:beforeLines="50" w:after="156" w:afterLines="50"/>
              <w:ind w:firstLine="240" w:firstLineChars="1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自评价时间：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设备数字化管理能力成熟度等级：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</w:t>
            </w:r>
          </w:p>
          <w:p>
            <w:pPr>
              <w:spacing w:before="156" w:beforeLines="50" w:after="156" w:afterLines="50"/>
              <w:ind w:firstLine="480" w:firstLineChars="2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【注：请在生产设备数字化管理能力成熟度评价系统在线进行自评价，网址为：https://siiidt.org.cn/system/eqDigitizationIndex】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简要介绍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设备数字化管理能力成熟度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的战略布局与基础条件、现状进展与成效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、核心应用需求与场景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等。（1000字以内）</w:t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pStyle w:val="4"/>
              <w:ind w:firstLine="21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围绕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《两化融合管理体系 生产设备管理能力成熟度评价》（GB/T 23021-2022）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标准，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简要介绍企业设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资源保障管理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运行环境管理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设备的基础管理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运行维护管理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绩效改进管理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等五个领域的设备数字化管理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2000字以内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before="156" w:beforeLines="50" w:after="156" w:afterLines="50"/>
              <w:ind w:left="360" w:leftChars="0" w:hanging="360" w:firstLineChars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四、企业设备使用系统或平台的情况</w:t>
            </w:r>
          </w:p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【注：包括但不限于生产设备运行监控、健康管理、调度排产、故障处置、安全防护等系统、工具或平台，如：MES/ EMS/ APC/ SCADA/ DCS/ DNC等】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系统名称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主要功能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运行状态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上线时间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数据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存储量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312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关键指标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数据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spacing w:before="156" w:beforeLines="50" w:after="156" w:afterLines="50" w:line="312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企业生产设备数字化率：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企业数字化设备联网率：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</w:t>
            </w:r>
          </w:p>
          <w:p>
            <w:pPr>
              <w:spacing w:before="156" w:beforeLines="50" w:after="156" w:afterLines="50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企业的生产设备上云率：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其他，请补充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五、企业贯标预期成效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after="156" w:afterLines="50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简要说明企业拟通过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设备上云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与设备数字化管理能力成熟度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贯标达到的预期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企业效益、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经济效益、社会效益。（500字以内）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六、真实性承诺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312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本企业用于申报时所提供的所有材料，均真实、完整、准确；</w:t>
            </w:r>
          </w:p>
          <w:p>
            <w:pPr>
              <w:spacing w:before="156" w:beforeLines="50" w:after="156" w:afterLines="50" w:line="312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本企业申请评价范围内涉及的活动均符合国家相关法律法规要求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spacing w:before="156" w:beforeLines="50" w:after="156" w:afterLines="50" w:line="312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以上声明如有不符，本企业愿承担相应的责任。</w:t>
            </w:r>
          </w:p>
          <w:p>
            <w:pPr>
              <w:spacing w:before="156" w:beforeLines="50" w:after="156" w:afterLines="5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      法定代表人签章：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公章：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2F603489"/>
    <w:rsid w:val="2F603489"/>
    <w:rsid w:val="5BBF76D9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240" w:lineRule="auto"/>
      <w:jc w:val="center"/>
      <w:outlineLvl w:val="0"/>
    </w:pPr>
    <w:rPr>
      <w:rFonts w:eastAsia="方正大标宋简体" w:asciiTheme="minorAscii" w:hAnsiTheme="minorAscii"/>
      <w:kern w:val="44"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ind w:firstLine="640" w:firstLineChars="200"/>
      <w:jc w:val="left"/>
    </w:pPr>
    <w:rPr>
      <w:rFonts w:eastAsia="仿宋" w:cs="Times New Roman"/>
      <w:lang w:eastAsia="en-US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2024-04-19T05:58:00Z</dcterms:created>
  <dc:creator>薛尤嘉</dc:creator>
  <cp:lastModifiedBy>薛尤嘉</cp:lastModifiedBy>
  <dcterms:modified xsi:type="dcterms:W3CDTF">2024-04-19T09:11:30Z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D94D6368B4494F788CAD34CA3F30B754_11</vt:lpwstr>
  </property>
</Properties>
</file>